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firstLine="0"/>
        <w:rPr>
          <w:rFonts w:ascii="Arial" w:cs="Arial" w:eastAsia="Arial" w:hAnsi="Arial"/>
        </w:rPr>
      </w:pPr>
      <w:r w:rsidDel="00000000" w:rsidR="00000000" w:rsidRPr="00000000">
        <w:rPr>
          <w:rFonts w:ascii="Arial" w:cs="Arial" w:eastAsia="Arial" w:hAnsi="Arial"/>
          <w:rtl w:val="0"/>
        </w:rPr>
        <w:t xml:space="preserve">Superintendencia de Seguridad Rural.</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6" w:line="360" w:lineRule="auto"/>
        <w:rPr>
          <w:rFonts w:ascii="Arial" w:cs="Arial" w:eastAsia="Arial" w:hAnsi="Arial"/>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389384"/>
                <wp:effectExtent b="0" l="0" r="0" t="0"/>
                <wp:wrapTopAndBottom distB="0" distT="0"/>
                <wp:docPr id="3" name=""/>
                <a:graphic>
                  <a:graphicData uri="http://schemas.microsoft.com/office/word/2010/wordprocessingGroup">
                    <wpg:wgp>
                      <wpg:cNvGrpSpPr/>
                      <wpg:grpSpPr>
                        <a:xfrm>
                          <a:off x="2311650" y="3585300"/>
                          <a:ext cx="6068695" cy="389384"/>
                          <a:chOff x="2311650" y="3585300"/>
                          <a:chExt cx="6068700" cy="389400"/>
                        </a:xfrm>
                      </wpg:grpSpPr>
                      <wpg:grpSp>
                        <wpg:cNvGrpSpPr/>
                        <wpg:grpSpPr>
                          <a:xfrm>
                            <a:off x="2311653" y="3585308"/>
                            <a:ext cx="6068695" cy="389384"/>
                            <a:chOff x="2311650" y="3594575"/>
                            <a:chExt cx="6068700" cy="370850"/>
                          </a:xfrm>
                        </wpg:grpSpPr>
                        <wps:wsp>
                          <wps:cNvSpPr/>
                          <wps:cNvPr id="3" name="Shape 3"/>
                          <wps:spPr>
                            <a:xfrm>
                              <a:off x="2311650" y="3594575"/>
                              <a:ext cx="6068700" cy="37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1653" y="3594580"/>
                              <a:ext cx="6068695" cy="370825"/>
                              <a:chOff x="0" y="0"/>
                              <a:chExt cx="6068695" cy="370825"/>
                            </a:xfrm>
                          </wpg:grpSpPr>
                          <wps:wsp>
                            <wps:cNvSpPr/>
                            <wps:cNvPr id="5" name="Shape 5"/>
                            <wps:spPr>
                              <a:xfrm>
                                <a:off x="0" y="0"/>
                                <a:ext cx="6068675" cy="37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068695" cy="364490"/>
                              </a:xfrm>
                              <a:custGeom>
                                <a:rect b="b" l="l" r="r" t="t"/>
                                <a:pathLst>
                                  <a:path extrusionOk="0" h="364490" w="6068695">
                                    <a:moveTo>
                                      <a:pt x="6068314" y="0"/>
                                    </a:moveTo>
                                    <a:lnTo>
                                      <a:pt x="0" y="0"/>
                                    </a:lnTo>
                                    <a:lnTo>
                                      <a:pt x="0" y="364235"/>
                                    </a:lnTo>
                                    <a:lnTo>
                                      <a:pt x="6068314" y="364235"/>
                                    </a:lnTo>
                                    <a:lnTo>
                                      <a:pt x="6068314" y="0"/>
                                    </a:lnTo>
                                    <a:close/>
                                  </a:path>
                                </a:pathLst>
                              </a:custGeom>
                              <a:solidFill>
                                <a:srgbClr val="F1F1F1"/>
                              </a:solidFill>
                              <a:ln>
                                <a:noFill/>
                              </a:ln>
                            </wps:spPr>
                            <wps:bodyPr anchorCtr="0" anchor="ctr" bIns="91425" lIns="91425" spcFirstLastPara="1" rIns="91425" wrap="square" tIns="91425">
                              <a:noAutofit/>
                            </wps:bodyPr>
                          </wps:wsp>
                          <wps:wsp>
                            <wps:cNvSpPr/>
                            <wps:cNvPr id="7" name="Shape 7"/>
                            <wps:spPr>
                              <a:xfrm>
                                <a:off x="0" y="364236"/>
                                <a:ext cx="6068695" cy="6350"/>
                              </a:xfrm>
                              <a:custGeom>
                                <a:rect b="b" l="l" r="r" t="t"/>
                                <a:pathLst>
                                  <a:path extrusionOk="0" h="6350" w="6068695">
                                    <a:moveTo>
                                      <a:pt x="6068314" y="0"/>
                                    </a:moveTo>
                                    <a:lnTo>
                                      <a:pt x="0" y="0"/>
                                    </a:lnTo>
                                    <a:lnTo>
                                      <a:pt x="0" y="6096"/>
                                    </a:lnTo>
                                    <a:lnTo>
                                      <a:pt x="6068314" y="6096"/>
                                    </a:lnTo>
                                    <a:lnTo>
                                      <a:pt x="6068314"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0" y="0"/>
                                <a:ext cx="6068695" cy="364490"/>
                              </a:xfrm>
                              <a:prstGeom prst="rect">
                                <a:avLst/>
                              </a:prstGeom>
                              <a:noFill/>
                              <a:ln>
                                <a:noFill/>
                              </a:ln>
                            </wps:spPr>
                            <wps:txbx>
                              <w:txbxContent>
                                <w:p w:rsidR="00000000" w:rsidDel="00000000" w:rsidP="00000000" w:rsidRDefault="00000000" w:rsidRPr="00000000">
                                  <w:pPr>
                                    <w:spacing w:after="0" w:before="160" w:line="240"/>
                                    <w:ind w:left="27.000000476837158" w:right="0" w:firstLine="54.000000953674316"/>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Curso básico de Seguridad Rural - Nivel II</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6068695" cy="389384"/>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068695" cy="389384"/>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Style w:val="Heading1"/>
        <w:spacing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04" w:line="360" w:lineRule="auto"/>
        <w:rPr>
          <w:rFonts w:ascii="Arial" w:cs="Arial" w:eastAsia="Arial" w:hAnsi="Arial"/>
        </w:rPr>
      </w:pPr>
      <w:r w:rsidDel="00000000" w:rsidR="00000000" w:rsidRPr="00000000">
        <w:rPr>
          <w:rFonts w:ascii="Arial" w:cs="Arial" w:eastAsia="Arial" w:hAnsi="Arial"/>
          <w:rtl w:val="0"/>
        </w:rPr>
        <w:t xml:space="preserve">La capacitación tiene como objetivo proveer al personal policial especializado en Seguridad Rural de conocimientos actualizados y profundizar en saberes específicos enfocados en la prevención, investigación y conducción operativa de delitos rurales. El curso desarrolla competencias para la detección y combate de estos delitos, permitiendo intervenciones efectivas en el ámbito rural. Además, se fortalecerán las prácticas operativas mediante la inspección de establecimientos agropecuarios para verificar el cumplimiento de normativas en coordinación con organismos como SENASA y el Ministerio de Desarrollo Agrario. También se capacitará al personal en la resolución de conflictos e irregularidades durante el control y fiscalización, asegurando respuestas eficaces y rápidas en situaciones críticas dentro de su ámbito de responsabilidad.</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04"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pStyle w:val="Heading1"/>
        <w:spacing w:before="1" w:line="36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Destinatarios: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4"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El curso está dirigido a: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ersonal del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ubescalafón General y Comando que presta servicios </w:t>
      </w:r>
      <w:r w:rsidDel="00000000" w:rsidR="00000000" w:rsidRPr="00000000">
        <w:rPr>
          <w:rFonts w:ascii="Arial" w:cs="Arial" w:eastAsia="Arial" w:hAnsi="Arial"/>
          <w:rtl w:val="0"/>
        </w:rPr>
        <w:t xml:space="preserve">bajo</w:t>
      </w:r>
      <w:r w:rsidDel="00000000" w:rsidR="00000000" w:rsidRPr="00000000">
        <w:rPr>
          <w:rFonts w:ascii="Arial" w:cs="Arial" w:eastAsia="Arial" w:hAnsi="Arial"/>
          <w:color w:val="000000"/>
          <w:rtl w:val="0"/>
        </w:rPr>
        <w:t xml:space="preserve"> la órbita de la Superintendencia de Seguridad Rural, así como en los Comandos de Prevención Rural que dependen directamente de las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uperintendencias de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olicía de </w:t>
      </w:r>
      <w:r w:rsidDel="00000000" w:rsidR="00000000" w:rsidRPr="00000000">
        <w:rPr>
          <w:rFonts w:ascii="Arial" w:cs="Arial" w:eastAsia="Arial" w:hAnsi="Arial"/>
          <w:rtl w:val="0"/>
        </w:rPr>
        <w:t xml:space="preserve">s</w:t>
      </w:r>
      <w:r w:rsidDel="00000000" w:rsidR="00000000" w:rsidRPr="00000000">
        <w:rPr>
          <w:rFonts w:ascii="Arial" w:cs="Arial" w:eastAsia="Arial" w:hAnsi="Arial"/>
          <w:color w:val="000000"/>
          <w:rtl w:val="0"/>
        </w:rPr>
        <w:t xml:space="preserve">eguridad.</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426"/>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Fonts w:ascii="Arial" w:cs="Arial" w:eastAsia="Arial" w:hAnsi="Arial"/>
          <w:b w:val="1"/>
          <w:rtl w:val="0"/>
        </w:rPr>
        <w:t xml:space="preserve">Modalidad: </w:t>
      </w:r>
      <w:r w:rsidDel="00000000" w:rsidR="00000000" w:rsidRPr="00000000">
        <w:rPr>
          <w:rFonts w:ascii="Arial" w:cs="Arial" w:eastAsia="Arial" w:hAnsi="Arial"/>
          <w:rtl w:val="0"/>
        </w:rPr>
        <w:t xml:space="preserve">Semipresencial.</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color w:val="000000"/>
        </w:rPr>
      </w:pPr>
      <w:r w:rsidDel="00000000" w:rsidR="00000000" w:rsidRPr="00000000">
        <w:rPr>
          <w:rFonts w:ascii="Arial" w:cs="Arial" w:eastAsia="Arial" w:hAnsi="Arial"/>
          <w:b w:val="1"/>
          <w:rtl w:val="0"/>
        </w:rPr>
        <w:t xml:space="preserve">Carga horaria: </w:t>
      </w:r>
      <w:r w:rsidDel="00000000" w:rsidR="00000000" w:rsidRPr="00000000">
        <w:rPr>
          <w:rFonts w:ascii="Arial" w:cs="Arial" w:eastAsia="Arial" w:hAnsi="Arial"/>
          <w:rtl w:val="0"/>
        </w:rPr>
        <w:t xml:space="preserve">136 horas reloj.</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pStyle w:val="Heading1"/>
        <w:spacing w:line="360" w:lineRule="auto"/>
        <w:ind w:left="0" w:firstLine="143"/>
        <w:rPr>
          <w:rFonts w:ascii="Arial" w:cs="Arial" w:eastAsia="Arial" w:hAnsi="Arial"/>
          <w:b w:val="0"/>
          <w:sz w:val="22"/>
          <w:szCs w:val="22"/>
        </w:rPr>
      </w:pPr>
      <w:r w:rsidDel="00000000" w:rsidR="00000000" w:rsidRPr="00000000">
        <w:rPr>
          <w:rFonts w:ascii="Arial" w:cs="Arial" w:eastAsia="Arial" w:hAnsi="Arial"/>
          <w:sz w:val="22"/>
          <w:szCs w:val="22"/>
          <w:rtl w:val="0"/>
        </w:rPr>
        <w:t xml:space="preserve">Ediciones: </w:t>
      </w:r>
      <w:r w:rsidDel="00000000" w:rsidR="00000000" w:rsidRPr="00000000">
        <w:rPr>
          <w:rFonts w:ascii="Arial" w:cs="Arial" w:eastAsia="Arial" w:hAnsi="Arial"/>
          <w:b w:val="0"/>
          <w:sz w:val="22"/>
          <w:szCs w:val="22"/>
          <w:rtl w:val="0"/>
        </w:rPr>
        <w:t xml:space="preserve">única edición.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9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color w:val="000000"/>
        </w:rPr>
      </w:pPr>
      <w:r w:rsidDel="00000000" w:rsidR="00000000" w:rsidRPr="00000000">
        <w:rPr>
          <w:rFonts w:ascii="Arial" w:cs="Arial" w:eastAsia="Arial" w:hAnsi="Arial"/>
          <w:b w:val="1"/>
          <w:rtl w:val="0"/>
        </w:rPr>
        <w:t xml:space="preserve">Fecha de inicio y finalización: i</w:t>
      </w:r>
      <w:r w:rsidDel="00000000" w:rsidR="00000000" w:rsidRPr="00000000">
        <w:rPr>
          <w:rFonts w:ascii="Arial" w:cs="Arial" w:eastAsia="Arial" w:hAnsi="Arial"/>
          <w:rtl w:val="0"/>
        </w:rPr>
        <w:t xml:space="preserve">nicia el 2 de abril del 2025 y finaliza el 30 de julio del 2025.</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216"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rPr>
      </w:pPr>
      <w:r w:rsidDel="00000000" w:rsidR="00000000" w:rsidRPr="00000000">
        <w:rPr>
          <w:rFonts w:ascii="Arial" w:cs="Arial" w:eastAsia="Arial" w:hAnsi="Arial"/>
          <w:b w:val="1"/>
          <w:rtl w:val="0"/>
        </w:rPr>
        <w:t xml:space="preserve">Cupo: </w:t>
      </w:r>
      <w:r w:rsidDel="00000000" w:rsidR="00000000" w:rsidRPr="00000000">
        <w:rPr>
          <w:rFonts w:ascii="Arial" w:cs="Arial" w:eastAsia="Arial" w:hAnsi="Arial"/>
          <w:rtl w:val="0"/>
        </w:rPr>
        <w:t xml:space="preserve">a definir por superioridad.</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245"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pStyle w:val="Heading1"/>
        <w:spacing w:line="360" w:lineRule="auto"/>
        <w:ind w:left="0" w:firstLine="143"/>
        <w:rPr>
          <w:rFonts w:ascii="Arial" w:cs="Arial" w:eastAsia="Arial" w:hAnsi="Arial"/>
          <w:sz w:val="22"/>
          <w:szCs w:val="22"/>
        </w:rPr>
      </w:pPr>
      <w:r w:rsidDel="00000000" w:rsidR="00000000" w:rsidRPr="00000000">
        <w:rPr>
          <w:rFonts w:ascii="Arial" w:cs="Arial" w:eastAsia="Arial" w:hAnsi="Arial"/>
          <w:sz w:val="22"/>
          <w:szCs w:val="22"/>
          <w:rtl w:val="0"/>
        </w:rPr>
        <w:t xml:space="preserve">Medio de contacto:</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863"/>
        </w:tabs>
        <w:spacing w:before="240" w:line="360" w:lineRule="auto"/>
        <w:ind w:left="0" w:hanging="360"/>
        <w:rPr>
          <w:color w:val="000000"/>
        </w:rPr>
      </w:pPr>
      <w:r w:rsidDel="00000000" w:rsidR="00000000" w:rsidRPr="00000000">
        <w:rPr>
          <w:rFonts w:ascii="Arial" w:cs="Arial" w:eastAsia="Arial" w:hAnsi="Arial"/>
          <w:color w:val="000000"/>
          <w:rtl w:val="0"/>
        </w:rPr>
        <w:t xml:space="preserve">Correo Electrónico: </w:t>
      </w:r>
      <w:hyperlink r:id="rId8">
        <w:r w:rsidDel="00000000" w:rsidR="00000000" w:rsidRPr="00000000">
          <w:rPr>
            <w:rFonts w:ascii="Arial" w:cs="Arial" w:eastAsia="Arial" w:hAnsi="Arial"/>
            <w:color w:val="0000ff"/>
            <w:rtl w:val="0"/>
          </w:rPr>
          <w:t xml:space="preserve">superintendenciaseguridadrural@gmail.com</w:t>
        </w:r>
      </w:hyperlink>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863"/>
        </w:tabs>
        <w:spacing w:before="240" w:line="360" w:lineRule="auto"/>
        <w:ind w:left="0" w:hanging="360"/>
        <w:rPr>
          <w:color w:val="000000"/>
        </w:rPr>
      </w:pPr>
      <w:r w:rsidDel="00000000" w:rsidR="00000000" w:rsidRPr="00000000">
        <w:rPr>
          <w:rFonts w:ascii="Arial" w:cs="Arial" w:eastAsia="Arial" w:hAnsi="Arial"/>
          <w:color w:val="000000"/>
          <w:rtl w:val="0"/>
        </w:rPr>
        <w:t xml:space="preserve"> Teléfono: (0221) 5736979 (Superintendencia).</w:t>
      </w:r>
      <w:r w:rsidDel="00000000" w:rsidR="00000000" w:rsidRPr="00000000">
        <w:rPr>
          <w:rtl w:val="0"/>
        </w:rPr>
      </w:r>
    </w:p>
    <w:sectPr>
      <w:pgSz w:h="16840" w:w="11910" w:orient="portrait"/>
      <w:pgMar w:bottom="280" w:top="1100" w:left="1417" w:right="708"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3" w:hanging="360"/>
      </w:pPr>
      <w:rPr>
        <w:rFonts w:ascii="Noto Sans Symbols" w:cs="Noto Sans Symbols" w:eastAsia="Noto Sans Symbols" w:hAnsi="Noto Sans Symbols"/>
        <w:b w:val="0"/>
        <w:i w:val="0"/>
        <w:sz w:val="22"/>
        <w:szCs w:val="22"/>
      </w:rPr>
    </w:lvl>
    <w:lvl w:ilvl="1">
      <w:start w:val="0"/>
      <w:numFmt w:val="bullet"/>
      <w:lvlText w:val="•"/>
      <w:lvlJc w:val="left"/>
      <w:pPr>
        <w:ind w:left="1752" w:hanging="360"/>
      </w:pPr>
      <w:rPr/>
    </w:lvl>
    <w:lvl w:ilvl="2">
      <w:start w:val="0"/>
      <w:numFmt w:val="bullet"/>
      <w:lvlText w:val="•"/>
      <w:lvlJc w:val="left"/>
      <w:pPr>
        <w:ind w:left="2644" w:hanging="360"/>
      </w:pPr>
      <w:rPr/>
    </w:lvl>
    <w:lvl w:ilvl="3">
      <w:start w:val="0"/>
      <w:numFmt w:val="bullet"/>
      <w:lvlText w:val="•"/>
      <w:lvlJc w:val="left"/>
      <w:pPr>
        <w:ind w:left="3536" w:hanging="360"/>
      </w:pPr>
      <w:rPr/>
    </w:lvl>
    <w:lvl w:ilvl="4">
      <w:start w:val="0"/>
      <w:numFmt w:val="bullet"/>
      <w:lvlText w:val="•"/>
      <w:lvlJc w:val="left"/>
      <w:pPr>
        <w:ind w:left="4428" w:hanging="360"/>
      </w:pPr>
      <w:rPr/>
    </w:lvl>
    <w:lvl w:ilvl="5">
      <w:start w:val="0"/>
      <w:numFmt w:val="bullet"/>
      <w:lvlText w:val="•"/>
      <w:lvlJc w:val="left"/>
      <w:pPr>
        <w:ind w:left="5320" w:hanging="360"/>
      </w:pPr>
      <w:rPr/>
    </w:lvl>
    <w:lvl w:ilvl="6">
      <w:start w:val="0"/>
      <w:numFmt w:val="bullet"/>
      <w:lvlText w:val="•"/>
      <w:lvlJc w:val="left"/>
      <w:pPr>
        <w:ind w:left="6212" w:hanging="360"/>
      </w:pPr>
      <w:rPr/>
    </w:lvl>
    <w:lvl w:ilvl="7">
      <w:start w:val="0"/>
      <w:numFmt w:val="bullet"/>
      <w:lvlText w:val="•"/>
      <w:lvlJc w:val="left"/>
      <w:pPr>
        <w:ind w:left="7104" w:hanging="360"/>
      </w:pPr>
      <w:rPr/>
    </w:lvl>
    <w:lvl w:ilvl="8">
      <w:start w:val="0"/>
      <w:numFmt w:val="bullet"/>
      <w:lvlText w:val="•"/>
      <w:lvlJc w:val="left"/>
      <w:pPr>
        <w:ind w:left="7997"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3"/>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7" w:lineRule="auto"/>
      <w:ind w:left="143"/>
    </w:pPr>
    <w:rPr>
      <w:sz w:val="34"/>
      <w:szCs w:val="34"/>
    </w:rPr>
  </w:style>
  <w:style w:type="paragraph" w:styleId="Normal" w:default="1">
    <w:name w:val="Normal"/>
    <w:qFormat w:val="1"/>
    <w:rPr>
      <w:lang w:eastAsia="en-US"/>
    </w:rPr>
  </w:style>
  <w:style w:type="paragraph" w:styleId="Ttulo1">
    <w:name w:val="heading 1"/>
    <w:basedOn w:val="Normal"/>
    <w:uiPriority w:val="9"/>
    <w:qFormat w:val="1"/>
    <w:pPr>
      <w:ind w:left="143"/>
      <w:outlineLvl w:val="0"/>
    </w:pPr>
    <w:rPr>
      <w:b w:val="1"/>
      <w:bCs w:val="1"/>
      <w:sz w:val="24"/>
      <w:szCs w:val="24"/>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before="17"/>
      <w:ind w:left="143"/>
    </w:pPr>
    <w:rPr>
      <w:sz w:val="34"/>
      <w:szCs w:val="3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spacing w:before="42"/>
      <w:ind w:left="863" w:hanging="360"/>
    </w:pPr>
  </w:style>
  <w:style w:type="paragraph" w:styleId="TableParagraph" w:customStyle="1">
    <w:name w:val="Table Paragraph"/>
    <w:basedOn w:val="Normal"/>
    <w:uiPriority w:val="1"/>
    <w:qFormat w:val="1"/>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uperintendenciaseguridadrura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nKzPDMLGjV4ok0n2yRJETRfFw==">CgMxLjA4AHIhMVBUS0lMai1OZUVwYzJnX2NlNDNFSWtkRmdTdmx1R3A3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2025-04-28T19:30:00Z</dcterms:created>
  <dc:creator>Vanina Miralles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Microsoft® Word 2010</vt:lpwstr>
  </property>
</Properties>
</file>